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djustRightInd w:val="0"/>
        <w:snapToGrid w:val="0"/>
        <w:spacing w:line="360" w:lineRule="atLeast"/>
        <w:jc w:val="center"/>
        <w:outlineLvl w:val="0"/>
        <w:rPr>
          <w:rFonts w:ascii="微软雅黑" w:hAnsi="微软雅黑" w:eastAsia="微软雅黑" w:cs="宋体"/>
          <w:b/>
          <w:bCs/>
          <w:color w:val="000000" w:themeColor="text1"/>
          <w:kern w:val="36"/>
          <w:sz w:val="30"/>
          <w:szCs w:val="30"/>
          <w14:textFill>
            <w14:solidFill>
              <w14:schemeClr w14:val="tx1"/>
            </w14:solidFill>
          </w14:textFill>
        </w:rPr>
      </w:pPr>
      <w:bookmarkStart w:id="0" w:name="_GoBack"/>
      <w:bookmarkEnd w:id="0"/>
      <w:r>
        <w:rPr>
          <w:rFonts w:hint="eastAsia" w:ascii="微软雅黑" w:hAnsi="微软雅黑" w:eastAsia="微软雅黑" w:cs="宋体"/>
          <w:b/>
          <w:bCs/>
          <w:color w:val="000000" w:themeColor="text1"/>
          <w:kern w:val="36"/>
          <w:sz w:val="30"/>
          <w:szCs w:val="30"/>
          <w14:textFill>
            <w14:solidFill>
              <w14:schemeClr w14:val="tx1"/>
            </w14:solidFill>
          </w14:textFill>
        </w:rPr>
        <w:t>江苏交通一卡通苏州本地卡使用管理办法</w:t>
      </w:r>
    </w:p>
    <w:p>
      <w:pPr>
        <w:widowControl w:val="0"/>
        <w:shd w:val="clear" w:color="auto" w:fill="FFFFFF"/>
        <w:adjustRightInd w:val="0"/>
        <w:snapToGrid w:val="0"/>
        <w:spacing w:line="360" w:lineRule="atLeast"/>
        <w:jc w:val="center"/>
        <w:outlineLvl w:val="0"/>
        <w:rPr>
          <w:rFonts w:ascii="微软雅黑" w:hAnsi="微软雅黑" w:eastAsia="微软雅黑" w:cs="宋体"/>
          <w:b/>
          <w:bCs/>
          <w:color w:val="000000" w:themeColor="text1"/>
          <w:kern w:val="36"/>
          <w:sz w:val="30"/>
          <w:szCs w:val="30"/>
          <w14:textFill>
            <w14:solidFill>
              <w14:schemeClr w14:val="tx1"/>
            </w14:solidFill>
          </w14:textFill>
        </w:rPr>
      </w:pP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江苏交通一卡通苏州本地卡属全国交通一卡通范畴。本卡为预付费卡，可在全国范围内已加入交通联合的各省、市的公交车、地铁、有轨电车、出租车、轮渡等公共交通领域中使用。</w:t>
      </w:r>
    </w:p>
    <w:p>
      <w:pPr>
        <w:pStyle w:val="13"/>
        <w:widowControl w:val="0"/>
        <w:numPr>
          <w:ilvl w:val="0"/>
          <w:numId w:val="1"/>
        </w:numPr>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卡片</w:t>
      </w:r>
      <w:r>
        <w:rPr>
          <w:rFonts w:ascii="仿宋" w:hAnsi="仿宋" w:eastAsia="仿宋" w:cs="宋体"/>
          <w:color w:val="000000" w:themeColor="text1"/>
          <w:kern w:val="0"/>
          <w:sz w:val="28"/>
          <w:szCs w:val="28"/>
          <w14:textFill>
            <w14:solidFill>
              <w14:schemeClr w14:val="tx1"/>
            </w14:solidFill>
          </w14:textFill>
        </w:rPr>
        <w:t>电子钱包中的</w:t>
      </w:r>
      <w:r>
        <w:rPr>
          <w:rFonts w:hint="eastAsia" w:ascii="仿宋" w:hAnsi="仿宋" w:eastAsia="仿宋" w:cs="宋体"/>
          <w:color w:val="000000" w:themeColor="text1"/>
          <w:kern w:val="0"/>
          <w:sz w:val="28"/>
          <w:szCs w:val="28"/>
          <w14:textFill>
            <w14:solidFill>
              <w14:schemeClr w14:val="tx1"/>
            </w14:solidFill>
          </w14:textFill>
        </w:rPr>
        <w:t>余额不提现，不透支</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不计息</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不记名、不挂失。</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交通一卡通苏州本地卡的售卖</w:t>
      </w:r>
    </w:p>
    <w:p>
      <w:pPr>
        <w:pStyle w:val="13"/>
        <w:widowControl w:val="0"/>
        <w:shd w:val="clear" w:color="auto" w:fill="FFFFFF"/>
        <w:adjustRightInd w:val="0"/>
        <w:snapToGrid w:val="0"/>
        <w:ind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交通一卡通苏州本地卡可在苏州市民卡客服中心网点、苏州市民卡</w:t>
      </w:r>
      <w:r>
        <w:rPr>
          <w:rFonts w:ascii="仿宋" w:hAnsi="仿宋" w:eastAsia="仿宋" w:cs="宋体"/>
          <w:color w:val="000000" w:themeColor="text1"/>
          <w:kern w:val="0"/>
          <w:sz w:val="28"/>
          <w:szCs w:val="28"/>
          <w14:textFill>
            <w14:solidFill>
              <w14:schemeClr w14:val="tx1"/>
            </w14:solidFill>
          </w14:textFill>
        </w:rPr>
        <w:t>自助终端</w:t>
      </w:r>
      <w:r>
        <w:rPr>
          <w:rFonts w:hint="eastAsia" w:ascii="仿宋" w:hAnsi="仿宋" w:eastAsia="仿宋" w:cs="宋体"/>
          <w:color w:val="000000" w:themeColor="text1"/>
          <w:kern w:val="0"/>
          <w:sz w:val="28"/>
          <w:szCs w:val="28"/>
          <w14:textFill>
            <w14:solidFill>
              <w14:schemeClr w14:val="tx1"/>
            </w14:solidFill>
          </w14:textFill>
        </w:rPr>
        <w:t>、苏州市民卡互联网线上平台、授权的第三方代理网点等渠道购买</w:t>
      </w:r>
      <w:r>
        <w:rPr>
          <w:rFonts w:ascii="仿宋" w:hAnsi="仿宋" w:eastAsia="仿宋" w:cs="宋体"/>
          <w:color w:val="000000" w:themeColor="text1"/>
          <w:kern w:val="0"/>
          <w:sz w:val="28"/>
          <w:szCs w:val="28"/>
          <w14:textFill>
            <w14:solidFill>
              <w14:schemeClr w14:val="tx1"/>
            </w14:solidFill>
          </w14:textFill>
        </w:rPr>
        <w:t>。由市民</w:t>
      </w:r>
      <w:r>
        <w:rPr>
          <w:rFonts w:hint="eastAsia" w:ascii="仿宋" w:hAnsi="仿宋" w:eastAsia="仿宋" w:cs="宋体"/>
          <w:color w:val="000000" w:themeColor="text1"/>
          <w:kern w:val="0"/>
          <w:sz w:val="28"/>
          <w:szCs w:val="28"/>
          <w14:textFill>
            <w14:solidFill>
              <w14:schemeClr w14:val="tx1"/>
            </w14:solidFill>
          </w14:textFill>
        </w:rPr>
        <w:t>自由</w:t>
      </w:r>
      <w:r>
        <w:rPr>
          <w:rFonts w:ascii="仿宋" w:hAnsi="仿宋" w:eastAsia="仿宋" w:cs="宋体"/>
          <w:color w:val="000000" w:themeColor="text1"/>
          <w:kern w:val="0"/>
          <w:sz w:val="28"/>
          <w:szCs w:val="28"/>
          <w14:textFill>
            <w14:solidFill>
              <w14:schemeClr w14:val="tx1"/>
            </w14:solidFill>
          </w14:textFill>
        </w:rPr>
        <w:t>选择、自愿购买</w:t>
      </w:r>
      <w:r>
        <w:rPr>
          <w:rFonts w:hint="eastAsia" w:ascii="仿宋" w:hAnsi="仿宋" w:eastAsia="仿宋" w:cs="宋体"/>
          <w:color w:val="000000" w:themeColor="text1"/>
          <w:kern w:val="0"/>
          <w:sz w:val="28"/>
          <w:szCs w:val="28"/>
          <w14:textFill>
            <w14:solidFill>
              <w14:schemeClr w14:val="tx1"/>
            </w14:solidFill>
          </w14:textFill>
        </w:rPr>
        <w:t>。</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充值</w:t>
      </w:r>
    </w:p>
    <w:p>
      <w:pPr>
        <w:pStyle w:val="13"/>
        <w:widowControl w:val="0"/>
        <w:adjustRightInd w:val="0"/>
        <w:snapToGrid w:val="0"/>
        <w:ind w:left="560" w:firstLine="0" w:firstLineChars="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交通一卡通苏州本地卡</w:t>
      </w:r>
      <w:r>
        <w:rPr>
          <w:rFonts w:hint="eastAsia" w:ascii="仿宋" w:hAnsi="仿宋" w:eastAsia="仿宋" w:cs="仿宋"/>
          <w:color w:val="000000" w:themeColor="text1"/>
          <w:kern w:val="0"/>
          <w:sz w:val="28"/>
          <w:szCs w:val="28"/>
          <w14:textFill>
            <w14:solidFill>
              <w14:schemeClr w14:val="tx1"/>
            </w14:solidFill>
          </w14:textFill>
        </w:rPr>
        <w:t>可反复充值，</w:t>
      </w:r>
      <w:r>
        <w:rPr>
          <w:rFonts w:hint="eastAsia" w:ascii="仿宋" w:hAnsi="仿宋" w:eastAsia="仿宋" w:cs="宋体"/>
          <w:color w:val="000000" w:themeColor="text1"/>
          <w:kern w:val="0"/>
          <w:sz w:val="28"/>
          <w:szCs w:val="28"/>
          <w14:textFill>
            <w14:solidFill>
              <w14:schemeClr w14:val="tx1"/>
            </w14:solidFill>
          </w14:textFill>
        </w:rPr>
        <w:t>卡片内电子钱包限额1000元。</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保管</w:t>
      </w:r>
    </w:p>
    <w:p>
      <w:pPr>
        <w:pStyle w:val="13"/>
        <w:widowControl w:val="0"/>
        <w:adjustRightInd w:val="0"/>
        <w:snapToGrid w:val="0"/>
        <w:ind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持卡人应妥善</w:t>
      </w:r>
      <w:r>
        <w:rPr>
          <w:rFonts w:ascii="仿宋" w:hAnsi="仿宋" w:eastAsia="仿宋" w:cs="仿宋"/>
          <w:color w:val="000000" w:themeColor="text1"/>
          <w:kern w:val="0"/>
          <w:sz w:val="28"/>
          <w:szCs w:val="28"/>
          <w14:textFill>
            <w14:solidFill>
              <w14:schemeClr w14:val="tx1"/>
            </w14:solidFill>
          </w14:textFill>
        </w:rPr>
        <w:t>保管卡片，</w:t>
      </w:r>
      <w:r>
        <w:rPr>
          <w:rFonts w:hint="eastAsia" w:ascii="仿宋" w:hAnsi="仿宋" w:eastAsia="仿宋" w:cs="仿宋"/>
          <w:color w:val="000000" w:themeColor="text1"/>
          <w:kern w:val="0"/>
          <w:sz w:val="28"/>
          <w:szCs w:val="28"/>
          <w14:textFill>
            <w14:solidFill>
              <w14:schemeClr w14:val="tx1"/>
            </w14:solidFill>
          </w14:textFill>
        </w:rPr>
        <w:t>保持卡片的平整，避免划伤、开裂</w:t>
      </w:r>
      <w:r>
        <w:rPr>
          <w:rFonts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弯折、撞击、浸泡</w:t>
      </w:r>
      <w:r>
        <w:rPr>
          <w:rFonts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高温等。因持卡人</w:t>
      </w:r>
      <w:r>
        <w:rPr>
          <w:rFonts w:ascii="仿宋" w:hAnsi="仿宋" w:eastAsia="仿宋" w:cs="仿宋"/>
          <w:color w:val="000000" w:themeColor="text1"/>
          <w:kern w:val="0"/>
          <w:sz w:val="28"/>
          <w:szCs w:val="28"/>
          <w14:textFill>
            <w14:solidFill>
              <w14:schemeClr w14:val="tx1"/>
            </w14:solidFill>
          </w14:textFill>
        </w:rPr>
        <w:t>卡片保管不善、将卡片转借他人或自身使用不当</w:t>
      </w:r>
      <w:r>
        <w:rPr>
          <w:rFonts w:hint="eastAsia" w:ascii="仿宋" w:hAnsi="仿宋" w:eastAsia="仿宋" w:cs="仿宋"/>
          <w:color w:val="000000" w:themeColor="text1"/>
          <w:kern w:val="0"/>
          <w:sz w:val="28"/>
          <w:szCs w:val="28"/>
          <w14:textFill>
            <w14:solidFill>
              <w14:schemeClr w14:val="tx1"/>
            </w14:solidFill>
          </w14:textFill>
        </w:rPr>
        <w:t>而</w:t>
      </w:r>
      <w:r>
        <w:rPr>
          <w:rFonts w:ascii="仿宋" w:hAnsi="仿宋" w:eastAsia="仿宋" w:cs="仿宋"/>
          <w:color w:val="000000" w:themeColor="text1"/>
          <w:kern w:val="0"/>
          <w:sz w:val="28"/>
          <w:szCs w:val="28"/>
          <w14:textFill>
            <w14:solidFill>
              <w14:schemeClr w14:val="tx1"/>
            </w14:solidFill>
          </w14:textFill>
        </w:rPr>
        <w:t>造成的损失，由持卡人本人承担。</w:t>
      </w:r>
      <w:r>
        <w:rPr>
          <w:rFonts w:hint="eastAsia" w:ascii="仿宋" w:hAnsi="仿宋" w:eastAsia="仿宋" w:cs="仿宋"/>
          <w:color w:val="000000" w:themeColor="text1"/>
          <w:kern w:val="0"/>
          <w:sz w:val="28"/>
          <w:szCs w:val="28"/>
          <w14:textFill>
            <w14:solidFill>
              <w14:schemeClr w14:val="tx1"/>
            </w14:solidFill>
          </w14:textFill>
        </w:rPr>
        <w:t>卡片遗失</w:t>
      </w:r>
      <w:r>
        <w:rPr>
          <w:rFonts w:ascii="仿宋" w:hAnsi="仿宋" w:eastAsia="仿宋" w:cs="仿宋"/>
          <w:color w:val="000000" w:themeColor="text1"/>
          <w:kern w:val="0"/>
          <w:sz w:val="28"/>
          <w:szCs w:val="28"/>
          <w14:textFill>
            <w14:solidFill>
              <w14:schemeClr w14:val="tx1"/>
            </w14:solidFill>
          </w14:textFill>
        </w:rPr>
        <w:t>或被盗不补卡，由此产生的损失</w:t>
      </w:r>
      <w:r>
        <w:rPr>
          <w:rFonts w:hint="eastAsia" w:ascii="仿宋" w:hAnsi="仿宋" w:eastAsia="仿宋" w:cs="仿宋"/>
          <w:color w:val="000000" w:themeColor="text1"/>
          <w:kern w:val="0"/>
          <w:sz w:val="28"/>
          <w:szCs w:val="28"/>
          <w14:textFill>
            <w14:solidFill>
              <w14:schemeClr w14:val="tx1"/>
            </w14:solidFill>
          </w14:textFill>
        </w:rPr>
        <w:t>由</w:t>
      </w:r>
      <w:r>
        <w:rPr>
          <w:rFonts w:ascii="仿宋" w:hAnsi="仿宋" w:eastAsia="仿宋" w:cs="仿宋"/>
          <w:color w:val="000000" w:themeColor="text1"/>
          <w:kern w:val="0"/>
          <w:sz w:val="28"/>
          <w:szCs w:val="28"/>
          <w14:textFill>
            <w14:solidFill>
              <w14:schemeClr w14:val="tx1"/>
            </w14:solidFill>
          </w14:textFill>
        </w:rPr>
        <w:t>持卡人自行承担。</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换卡及</w:t>
      </w:r>
      <w:r>
        <w:rPr>
          <w:rFonts w:ascii="仿宋" w:hAnsi="仿宋" w:eastAsia="仿宋" w:cs="宋体"/>
          <w:color w:val="000000" w:themeColor="text1"/>
          <w:kern w:val="0"/>
          <w:sz w:val="28"/>
          <w:szCs w:val="28"/>
          <w14:textFill>
            <w14:solidFill>
              <w14:schemeClr w14:val="tx1"/>
            </w14:solidFill>
          </w14:textFill>
        </w:rPr>
        <w:t>电子钱包转值</w:t>
      </w:r>
    </w:p>
    <w:p>
      <w:pPr>
        <w:pStyle w:val="13"/>
        <w:widowControl w:val="0"/>
        <w:numPr>
          <w:ilvl w:val="0"/>
          <w:numId w:val="2"/>
        </w:numPr>
        <w:adjustRightInd w:val="0"/>
        <w:snapToGrid w:val="0"/>
        <w:ind w:left="0" w:firstLine="560"/>
        <w:jc w:val="both"/>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换卡</w:t>
      </w:r>
      <w:r>
        <w:rPr>
          <w:rFonts w:ascii="仿宋" w:hAnsi="仿宋" w:eastAsia="仿宋" w:cs="仿宋"/>
          <w:color w:val="000000" w:themeColor="text1"/>
          <w:kern w:val="0"/>
          <w:sz w:val="28"/>
          <w:szCs w:val="28"/>
          <w14:textFill>
            <w14:solidFill>
              <w14:schemeClr w14:val="tx1"/>
            </w14:solidFill>
          </w14:textFill>
        </w:rPr>
        <w:t>手续</w:t>
      </w:r>
    </w:p>
    <w:p>
      <w:pPr>
        <w:pStyle w:val="13"/>
        <w:widowControl w:val="0"/>
        <w:numPr>
          <w:ilvl w:val="0"/>
          <w:numId w:val="3"/>
        </w:numPr>
        <w:adjustRightInd w:val="0"/>
        <w:snapToGrid w:val="0"/>
        <w:ind w:left="0" w:firstLine="560"/>
        <w:jc w:val="both"/>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交通一卡通</w:t>
      </w:r>
      <w:r>
        <w:rPr>
          <w:rFonts w:hint="eastAsia" w:ascii="仿宋" w:hAnsi="仿宋" w:eastAsia="仿宋" w:cs="宋体"/>
          <w:color w:val="000000" w:themeColor="text1"/>
          <w:kern w:val="0"/>
          <w:sz w:val="28"/>
          <w:szCs w:val="28"/>
          <w14:textFill>
            <w14:solidFill>
              <w14:schemeClr w14:val="tx1"/>
            </w14:solidFill>
          </w14:textFill>
        </w:rPr>
        <w:t>苏州本地卡</w:t>
      </w:r>
      <w:r>
        <w:rPr>
          <w:rFonts w:ascii="仿宋" w:hAnsi="仿宋" w:eastAsia="仿宋" w:cs="仿宋"/>
          <w:color w:val="000000" w:themeColor="text1"/>
          <w:kern w:val="0"/>
          <w:sz w:val="28"/>
          <w:szCs w:val="28"/>
          <w14:textFill>
            <w14:solidFill>
              <w14:schemeClr w14:val="tx1"/>
            </w14:solidFill>
          </w14:textFill>
        </w:rPr>
        <w:t>质量保证</w:t>
      </w:r>
      <w:r>
        <w:rPr>
          <w:rFonts w:hint="eastAsia" w:ascii="仿宋" w:hAnsi="仿宋" w:eastAsia="仿宋" w:cs="仿宋"/>
          <w:color w:val="000000" w:themeColor="text1"/>
          <w:kern w:val="0"/>
          <w:sz w:val="28"/>
          <w:szCs w:val="28"/>
          <w14:textFill>
            <w14:solidFill>
              <w14:schemeClr w14:val="tx1"/>
            </w14:solidFill>
          </w14:textFill>
        </w:rPr>
        <w:t>期</w:t>
      </w:r>
      <w:r>
        <w:rPr>
          <w:rFonts w:ascii="仿宋" w:hAnsi="仿宋" w:eastAsia="仿宋" w:cs="仿宋"/>
          <w:color w:val="000000" w:themeColor="text1"/>
          <w:kern w:val="0"/>
          <w:sz w:val="28"/>
          <w:szCs w:val="28"/>
          <w14:textFill>
            <w14:solidFill>
              <w14:schemeClr w14:val="tx1"/>
            </w14:solidFill>
          </w14:textFill>
        </w:rPr>
        <w:t>为自售出之日起二年，质保期内对于非人为原因出现的</w:t>
      </w:r>
      <w:r>
        <w:rPr>
          <w:rFonts w:hint="eastAsia" w:ascii="仿宋" w:hAnsi="仿宋" w:eastAsia="仿宋" w:cs="仿宋"/>
          <w:color w:val="000000" w:themeColor="text1"/>
          <w:kern w:val="0"/>
          <w:sz w:val="28"/>
          <w:szCs w:val="28"/>
          <w14:textFill>
            <w14:solidFill>
              <w14:schemeClr w14:val="tx1"/>
            </w14:solidFill>
          </w14:textFill>
        </w:rPr>
        <w:t>卡片</w:t>
      </w:r>
      <w:r>
        <w:rPr>
          <w:rFonts w:ascii="仿宋" w:hAnsi="仿宋" w:eastAsia="仿宋" w:cs="仿宋"/>
          <w:color w:val="000000" w:themeColor="text1"/>
          <w:kern w:val="0"/>
          <w:sz w:val="28"/>
          <w:szCs w:val="28"/>
          <w14:textFill>
            <w14:solidFill>
              <w14:schemeClr w14:val="tx1"/>
            </w14:solidFill>
          </w14:textFill>
        </w:rPr>
        <w:t>故障，</w:t>
      </w:r>
      <w:r>
        <w:rPr>
          <w:rFonts w:hint="eastAsia" w:ascii="仿宋" w:hAnsi="仿宋" w:eastAsia="仿宋" w:cs="仿宋"/>
          <w:color w:val="000000" w:themeColor="text1"/>
          <w:kern w:val="0"/>
          <w:sz w:val="28"/>
          <w:szCs w:val="28"/>
          <w14:textFill>
            <w14:solidFill>
              <w14:schemeClr w14:val="tx1"/>
            </w14:solidFill>
          </w14:textFill>
        </w:rPr>
        <w:t>由指定的</w:t>
      </w:r>
      <w:r>
        <w:rPr>
          <w:rFonts w:hint="eastAsia" w:ascii="仿宋" w:hAnsi="仿宋" w:eastAsia="仿宋" w:cs="宋体"/>
          <w:color w:val="000000" w:themeColor="text1"/>
          <w:kern w:val="0"/>
          <w:sz w:val="28"/>
          <w:szCs w:val="28"/>
          <w14:textFill>
            <w14:solidFill>
              <w14:schemeClr w14:val="tx1"/>
            </w14:solidFill>
          </w14:textFill>
        </w:rPr>
        <w:t>苏州市民卡客服中心网点</w:t>
      </w:r>
      <w:r>
        <w:rPr>
          <w:rFonts w:ascii="仿宋" w:hAnsi="仿宋" w:eastAsia="仿宋" w:cs="仿宋"/>
          <w:color w:val="000000" w:themeColor="text1"/>
          <w:kern w:val="0"/>
          <w:sz w:val="28"/>
          <w:szCs w:val="28"/>
          <w14:textFill>
            <w14:solidFill>
              <w14:schemeClr w14:val="tx1"/>
            </w14:solidFill>
          </w14:textFill>
        </w:rPr>
        <w:t>免费换卡。</w:t>
      </w:r>
    </w:p>
    <w:p>
      <w:pPr>
        <w:pStyle w:val="13"/>
        <w:widowControl w:val="0"/>
        <w:numPr>
          <w:ilvl w:val="0"/>
          <w:numId w:val="3"/>
        </w:numPr>
        <w:adjustRightInd w:val="0"/>
        <w:snapToGrid w:val="0"/>
        <w:ind w:left="0" w:firstLine="560"/>
        <w:jc w:val="both"/>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持卡人所持交通一卡通</w:t>
      </w:r>
      <w:r>
        <w:rPr>
          <w:rFonts w:hint="eastAsia" w:ascii="仿宋" w:hAnsi="仿宋" w:eastAsia="仿宋" w:cs="宋体"/>
          <w:color w:val="000000" w:themeColor="text1"/>
          <w:kern w:val="0"/>
          <w:sz w:val="28"/>
          <w:szCs w:val="28"/>
          <w14:textFill>
            <w14:solidFill>
              <w14:schemeClr w14:val="tx1"/>
            </w14:solidFill>
          </w14:textFill>
        </w:rPr>
        <w:t>苏州本地卡</w:t>
      </w:r>
      <w:r>
        <w:rPr>
          <w:rFonts w:ascii="仿宋" w:hAnsi="仿宋" w:eastAsia="仿宋" w:cs="仿宋"/>
          <w:color w:val="000000" w:themeColor="text1"/>
          <w:kern w:val="0"/>
          <w:sz w:val="28"/>
          <w:szCs w:val="28"/>
          <w14:textFill>
            <w14:solidFill>
              <w14:schemeClr w14:val="tx1"/>
            </w14:solidFill>
          </w14:textFill>
        </w:rPr>
        <w:t>发生故障时，可</w:t>
      </w:r>
      <w:r>
        <w:rPr>
          <w:rFonts w:hint="eastAsia" w:ascii="仿宋" w:hAnsi="仿宋" w:eastAsia="仿宋" w:cs="仿宋"/>
          <w:color w:val="000000" w:themeColor="text1"/>
          <w:kern w:val="0"/>
          <w:sz w:val="28"/>
          <w:szCs w:val="28"/>
          <w14:textFill>
            <w14:solidFill>
              <w14:schemeClr w14:val="tx1"/>
            </w14:solidFill>
          </w14:textFill>
        </w:rPr>
        <w:t>凭原卡及购卡凭证</w:t>
      </w:r>
      <w:r>
        <w:rPr>
          <w:rFonts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到指定的</w:t>
      </w:r>
      <w:r>
        <w:rPr>
          <w:rFonts w:hint="eastAsia" w:ascii="仿宋" w:hAnsi="仿宋" w:eastAsia="仿宋" w:cs="宋体"/>
          <w:color w:val="000000" w:themeColor="text1"/>
          <w:kern w:val="0"/>
          <w:sz w:val="28"/>
          <w:szCs w:val="28"/>
          <w14:textFill>
            <w14:solidFill>
              <w14:schemeClr w14:val="tx1"/>
            </w14:solidFill>
          </w14:textFill>
        </w:rPr>
        <w:t>苏州市民卡客服中心网点</w:t>
      </w:r>
      <w:r>
        <w:rPr>
          <w:rFonts w:ascii="仿宋" w:hAnsi="仿宋" w:eastAsia="仿宋" w:cs="仿宋"/>
          <w:color w:val="000000" w:themeColor="text1"/>
          <w:kern w:val="0"/>
          <w:sz w:val="28"/>
          <w:szCs w:val="28"/>
          <w14:textFill>
            <w14:solidFill>
              <w14:schemeClr w14:val="tx1"/>
            </w14:solidFill>
          </w14:textFill>
        </w:rPr>
        <w:t>处理</w:t>
      </w:r>
      <w:r>
        <w:rPr>
          <w:rFonts w:hint="eastAsia" w:ascii="仿宋" w:hAnsi="仿宋" w:eastAsia="仿宋" w:cs="仿宋"/>
          <w:color w:val="000000" w:themeColor="text1"/>
          <w:kern w:val="0"/>
          <w:sz w:val="28"/>
          <w:szCs w:val="28"/>
          <w14:textFill>
            <w14:solidFill>
              <w14:schemeClr w14:val="tx1"/>
            </w14:solidFill>
          </w14:textFill>
        </w:rPr>
        <w:t>，</w:t>
      </w:r>
      <w:r>
        <w:rPr>
          <w:rFonts w:ascii="仿宋" w:hAnsi="仿宋" w:eastAsia="仿宋" w:cs="仿宋"/>
          <w:color w:val="000000" w:themeColor="text1"/>
          <w:kern w:val="0"/>
          <w:sz w:val="28"/>
          <w:szCs w:val="28"/>
          <w14:textFill>
            <w14:solidFill>
              <w14:schemeClr w14:val="tx1"/>
            </w14:solidFill>
          </w14:textFill>
        </w:rPr>
        <w:t>进行检测。</w:t>
      </w:r>
    </w:p>
    <w:p>
      <w:pPr>
        <w:pStyle w:val="13"/>
        <w:widowControl w:val="0"/>
        <w:numPr>
          <w:ilvl w:val="0"/>
          <w:numId w:val="4"/>
        </w:numPr>
        <w:adjustRightInd w:val="0"/>
        <w:snapToGrid w:val="0"/>
        <w:ind w:left="0" w:firstLine="560"/>
        <w:jc w:val="both"/>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经检测，若因卡片本身质量问题造成无法使用，卡片仍在质保期内的，可以免费换卡，原卡须交还</w:t>
      </w:r>
      <w:r>
        <w:rPr>
          <w:rFonts w:hint="eastAsia" w:ascii="仿宋" w:hAnsi="仿宋" w:eastAsia="仿宋" w:cs="宋体"/>
          <w:color w:val="000000" w:themeColor="text1"/>
          <w:kern w:val="0"/>
          <w:sz w:val="28"/>
          <w:szCs w:val="28"/>
          <w14:textFill>
            <w14:solidFill>
              <w14:schemeClr w14:val="tx1"/>
            </w14:solidFill>
          </w14:textFill>
        </w:rPr>
        <w:t>苏州市民卡客服中心</w:t>
      </w:r>
      <w:r>
        <w:rPr>
          <w:rFonts w:hint="eastAsia" w:ascii="仿宋" w:hAnsi="仿宋" w:eastAsia="仿宋" w:cs="仿宋"/>
          <w:color w:val="000000" w:themeColor="text1"/>
          <w:kern w:val="0"/>
          <w:sz w:val="28"/>
          <w:szCs w:val="28"/>
          <w14:textFill>
            <w14:solidFill>
              <w14:schemeClr w14:val="tx1"/>
            </w14:solidFill>
          </w14:textFill>
        </w:rPr>
        <w:t>。</w:t>
      </w:r>
    </w:p>
    <w:p>
      <w:pPr>
        <w:pStyle w:val="13"/>
        <w:widowControl w:val="0"/>
        <w:numPr>
          <w:ilvl w:val="0"/>
          <w:numId w:val="4"/>
        </w:numPr>
        <w:adjustRightInd w:val="0"/>
        <w:snapToGrid w:val="0"/>
        <w:ind w:left="0" w:firstLine="560"/>
        <w:jc w:val="both"/>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经检测，若因人为原因损坏（有弯折、开裂、断裂、划伤、打孔、浸泡、烘烤、严重污损等造成卡片物理结构损坏的情形）或卡片不在质保期内的，持卡人需自愿选择卡种并支付新卡工本费进行换卡，原卡须</w:t>
      </w:r>
      <w:r>
        <w:rPr>
          <w:rFonts w:ascii="仿宋" w:hAnsi="仿宋" w:eastAsia="仿宋" w:cs="仿宋"/>
          <w:color w:val="000000" w:themeColor="text1"/>
          <w:kern w:val="0"/>
          <w:sz w:val="28"/>
          <w:szCs w:val="28"/>
          <w14:textFill>
            <w14:solidFill>
              <w14:schemeClr w14:val="tx1"/>
            </w14:solidFill>
          </w14:textFill>
        </w:rPr>
        <w:t>于</w:t>
      </w:r>
      <w:r>
        <w:rPr>
          <w:rFonts w:hint="eastAsia" w:ascii="仿宋" w:hAnsi="仿宋" w:eastAsia="仿宋" w:cs="仿宋"/>
          <w:color w:val="000000" w:themeColor="text1"/>
          <w:kern w:val="0"/>
          <w:sz w:val="28"/>
          <w:szCs w:val="28"/>
          <w14:textFill>
            <w14:solidFill>
              <w14:schemeClr w14:val="tx1"/>
            </w14:solidFill>
          </w14:textFill>
        </w:rPr>
        <w:t>办理换卡手续时交</w:t>
      </w:r>
      <w:r>
        <w:rPr>
          <w:rFonts w:ascii="仿宋" w:hAnsi="仿宋" w:eastAsia="仿宋" w:cs="仿宋"/>
          <w:color w:val="000000" w:themeColor="text1"/>
          <w:kern w:val="0"/>
          <w:sz w:val="28"/>
          <w:szCs w:val="28"/>
          <w14:textFill>
            <w14:solidFill>
              <w14:schemeClr w14:val="tx1"/>
            </w14:solidFill>
          </w14:textFill>
        </w:rPr>
        <w:t>还</w:t>
      </w:r>
      <w:r>
        <w:rPr>
          <w:rFonts w:hint="eastAsia" w:ascii="仿宋" w:hAnsi="仿宋" w:eastAsia="仿宋" w:cs="仿宋"/>
          <w:color w:val="000000" w:themeColor="text1"/>
          <w:kern w:val="0"/>
          <w:sz w:val="28"/>
          <w:szCs w:val="28"/>
          <w14:textFill>
            <w14:solidFill>
              <w14:schemeClr w14:val="tx1"/>
            </w14:solidFill>
          </w14:textFill>
        </w:rPr>
        <w:t>苏州市民卡客服中心。</w:t>
      </w:r>
    </w:p>
    <w:p>
      <w:pPr>
        <w:pStyle w:val="13"/>
        <w:widowControl w:val="0"/>
        <w:numPr>
          <w:ilvl w:val="0"/>
          <w:numId w:val="2"/>
        </w:numPr>
        <w:adjustRightInd w:val="0"/>
        <w:snapToGrid w:val="0"/>
        <w:ind w:left="0" w:firstLine="560"/>
        <w:jc w:val="both"/>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换卡转值手续</w:t>
      </w:r>
    </w:p>
    <w:p>
      <w:pPr>
        <w:pStyle w:val="13"/>
        <w:widowControl w:val="0"/>
        <w:numPr>
          <w:ilvl w:val="255"/>
          <w:numId w:val="0"/>
        </w:numPr>
        <w:adjustRightInd w:val="0"/>
        <w:snapToGrid w:val="0"/>
        <w:ind w:left="420" w:leftChars="200" w:firstLine="420"/>
        <w:jc w:val="both"/>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1.可以被正确读写的卡片在换卡时可以办理</w:t>
      </w:r>
      <w:r>
        <w:rPr>
          <w:rFonts w:hint="eastAsia" w:ascii="仿宋" w:hAnsi="仿宋" w:eastAsia="仿宋" w:cs="仿宋"/>
          <w:color w:val="000000" w:themeColor="text1"/>
          <w:kern w:val="0"/>
          <w:sz w:val="28"/>
          <w:szCs w:val="28"/>
          <w14:textFill>
            <w14:solidFill>
              <w14:schemeClr w14:val="tx1"/>
            </w14:solidFill>
          </w14:textFill>
        </w:rPr>
        <w:t>电子钱包转值手续。</w:t>
      </w:r>
    </w:p>
    <w:p>
      <w:pPr>
        <w:pStyle w:val="13"/>
        <w:widowControl w:val="0"/>
        <w:numPr>
          <w:ilvl w:val="255"/>
          <w:numId w:val="0"/>
        </w:numPr>
        <w:adjustRightInd w:val="0"/>
        <w:snapToGrid w:val="0"/>
        <w:ind w:left="0" w:leftChars="0" w:firstLine="560" w:firstLineChars="200"/>
        <w:jc w:val="both"/>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2.不能被正确读写，但卡号</w:t>
      </w:r>
      <w:r>
        <w:rPr>
          <w:rFonts w:ascii="仿宋" w:hAnsi="仿宋" w:eastAsia="仿宋" w:cs="仿宋"/>
          <w:color w:val="000000" w:themeColor="text1"/>
          <w:kern w:val="0"/>
          <w:sz w:val="28"/>
          <w:szCs w:val="28"/>
          <w14:textFill>
            <w14:solidFill>
              <w14:schemeClr w14:val="tx1"/>
            </w14:solidFill>
          </w14:textFill>
        </w:rPr>
        <w:t>清晰可</w:t>
      </w:r>
      <w:r>
        <w:rPr>
          <w:rFonts w:hint="eastAsia" w:ascii="仿宋" w:hAnsi="仿宋" w:eastAsia="仿宋" w:cs="仿宋"/>
          <w:color w:val="000000" w:themeColor="text1"/>
          <w:kern w:val="0"/>
          <w:sz w:val="28"/>
          <w:szCs w:val="28"/>
          <w14:textFill>
            <w14:solidFill>
              <w14:schemeClr w14:val="tx1"/>
            </w14:solidFill>
          </w14:textFill>
        </w:rPr>
        <w:t>辨</w:t>
      </w:r>
      <w:r>
        <w:rPr>
          <w:rFonts w:ascii="仿宋" w:hAnsi="仿宋" w:eastAsia="仿宋" w:cs="仿宋"/>
          <w:color w:val="000000" w:themeColor="text1"/>
          <w:kern w:val="0"/>
          <w:sz w:val="28"/>
          <w:szCs w:val="28"/>
          <w14:textFill>
            <w14:solidFill>
              <w14:schemeClr w14:val="tx1"/>
            </w14:solidFill>
          </w14:textFill>
        </w:rPr>
        <w:t>的</w:t>
      </w:r>
      <w:r>
        <w:rPr>
          <w:rFonts w:hint="eastAsia" w:ascii="仿宋" w:hAnsi="仿宋" w:eastAsia="仿宋" w:cs="仿宋"/>
          <w:color w:val="000000" w:themeColor="text1"/>
          <w:kern w:val="0"/>
          <w:sz w:val="28"/>
          <w:szCs w:val="28"/>
          <w14:textFill>
            <w14:solidFill>
              <w14:schemeClr w14:val="tx1"/>
            </w14:solidFill>
          </w14:textFill>
        </w:rPr>
        <w:t>的卡片，持卡人在办理换卡手续之日起三十天后持所换新卡办理电子钱包转值，如新卡丢失将不予转值。</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销户退值</w:t>
      </w:r>
    </w:p>
    <w:p>
      <w:pPr>
        <w:pStyle w:val="13"/>
        <w:widowControl w:val="0"/>
        <w:numPr>
          <w:ilvl w:val="0"/>
          <w:numId w:val="5"/>
        </w:numPr>
        <w:adjustRightInd w:val="0"/>
        <w:snapToGrid w:val="0"/>
        <w:ind w:left="0" w:firstLine="560"/>
        <w:jc w:val="both"/>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28"/>
          <w:szCs w:val="28"/>
          <w14:textFill>
            <w14:solidFill>
              <w14:schemeClr w14:val="tx1"/>
            </w14:solidFill>
          </w14:textFill>
        </w:rPr>
        <w:t>可以被正确读写的卡片，卡内</w:t>
      </w:r>
      <w:r>
        <w:rPr>
          <w:rFonts w:hint="eastAsia" w:ascii="仿宋" w:hAnsi="仿宋" w:eastAsia="仿宋" w:cs="仿宋"/>
          <w:color w:val="000000" w:themeColor="text1"/>
          <w:kern w:val="0"/>
          <w:sz w:val="28"/>
          <w:szCs w:val="28"/>
          <w14:textFill>
            <w14:solidFill>
              <w14:schemeClr w14:val="tx1"/>
            </w14:solidFill>
          </w14:textFill>
        </w:rPr>
        <w:t>电子钱包余额低于50元时可办理销户手续，卡余额全额退还，原卡须交还</w:t>
      </w:r>
      <w:r>
        <w:rPr>
          <w:rFonts w:hint="eastAsia" w:ascii="仿宋" w:hAnsi="仿宋" w:eastAsia="仿宋" w:cs="宋体"/>
          <w:color w:val="000000" w:themeColor="text1"/>
          <w:kern w:val="0"/>
          <w:sz w:val="28"/>
          <w:szCs w:val="28"/>
          <w14:textFill>
            <w14:solidFill>
              <w14:schemeClr w14:val="tx1"/>
            </w14:solidFill>
          </w14:textFill>
        </w:rPr>
        <w:t>苏州市民卡客服中心</w:t>
      </w:r>
      <w:r>
        <w:rPr>
          <w:rFonts w:hint="eastAsia" w:ascii="仿宋" w:hAnsi="仿宋" w:eastAsia="仿宋" w:cs="仿宋"/>
          <w:color w:val="000000" w:themeColor="text1"/>
          <w:kern w:val="0"/>
          <w:sz w:val="28"/>
          <w:szCs w:val="28"/>
          <w14:textFill>
            <w14:solidFill>
              <w14:schemeClr w14:val="tx1"/>
            </w14:solidFill>
          </w14:textFill>
        </w:rPr>
        <w:t>，原卡工本费不退。</w:t>
      </w:r>
    </w:p>
    <w:p>
      <w:pPr>
        <w:pStyle w:val="13"/>
        <w:widowControl w:val="0"/>
        <w:numPr>
          <w:ilvl w:val="0"/>
          <w:numId w:val="5"/>
        </w:numPr>
        <w:adjustRightInd w:val="0"/>
        <w:snapToGrid w:val="0"/>
        <w:ind w:left="0" w:firstLine="560"/>
        <w:jc w:val="both"/>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不能</w:t>
      </w:r>
      <w:r>
        <w:rPr>
          <w:rFonts w:ascii="仿宋" w:hAnsi="仿宋" w:eastAsia="仿宋" w:cs="仿宋"/>
          <w:color w:val="000000" w:themeColor="text1"/>
          <w:kern w:val="0"/>
          <w:sz w:val="28"/>
          <w:szCs w:val="28"/>
          <w14:textFill>
            <w14:solidFill>
              <w14:schemeClr w14:val="tx1"/>
            </w14:solidFill>
          </w14:textFill>
        </w:rPr>
        <w:t>被正确读写</w:t>
      </w:r>
      <w:r>
        <w:rPr>
          <w:rFonts w:hint="eastAsia" w:ascii="仿宋" w:hAnsi="仿宋" w:eastAsia="仿宋" w:cs="仿宋"/>
          <w:color w:val="000000" w:themeColor="text1"/>
          <w:kern w:val="0"/>
          <w:sz w:val="28"/>
          <w:szCs w:val="28"/>
          <w14:textFill>
            <w14:solidFill>
              <w14:schemeClr w14:val="tx1"/>
            </w14:solidFill>
          </w14:textFill>
        </w:rPr>
        <w:t>，但卡号清晰可辨</w:t>
      </w:r>
      <w:r>
        <w:rPr>
          <w:rFonts w:ascii="仿宋" w:hAnsi="仿宋" w:eastAsia="仿宋" w:cs="仿宋"/>
          <w:color w:val="000000" w:themeColor="text1"/>
          <w:kern w:val="0"/>
          <w:sz w:val="28"/>
          <w:szCs w:val="28"/>
          <w14:textFill>
            <w14:solidFill>
              <w14:schemeClr w14:val="tx1"/>
            </w14:solidFill>
          </w14:textFill>
        </w:rPr>
        <w:t>的卡片，</w:t>
      </w:r>
      <w:r>
        <w:rPr>
          <w:rFonts w:hint="eastAsia" w:ascii="仿宋" w:hAnsi="仿宋" w:eastAsia="仿宋" w:cs="仿宋"/>
          <w:color w:val="000000" w:themeColor="text1"/>
          <w:kern w:val="0"/>
          <w:sz w:val="28"/>
          <w:szCs w:val="28"/>
          <w14:textFill>
            <w14:solidFill>
              <w14:schemeClr w14:val="tx1"/>
            </w14:solidFill>
          </w14:textFill>
        </w:rPr>
        <w:t>可办理</w:t>
      </w:r>
      <w:r>
        <w:rPr>
          <w:rFonts w:ascii="仿宋" w:hAnsi="仿宋" w:eastAsia="仿宋" w:cs="仿宋"/>
          <w:color w:val="000000" w:themeColor="text1"/>
          <w:kern w:val="0"/>
          <w:sz w:val="28"/>
          <w:szCs w:val="28"/>
          <w14:textFill>
            <w14:solidFill>
              <w14:schemeClr w14:val="tx1"/>
            </w14:solidFill>
          </w14:textFill>
        </w:rPr>
        <w:t>销户手续。销户手续</w:t>
      </w:r>
      <w:r>
        <w:rPr>
          <w:rFonts w:hint="eastAsia" w:ascii="仿宋" w:hAnsi="仿宋" w:eastAsia="仿宋" w:cs="仿宋"/>
          <w:color w:val="000000" w:themeColor="text1"/>
          <w:kern w:val="0"/>
          <w:sz w:val="28"/>
          <w:szCs w:val="28"/>
          <w14:textFill>
            <w14:solidFill>
              <w14:schemeClr w14:val="tx1"/>
            </w14:solidFill>
          </w14:textFill>
        </w:rPr>
        <w:t>办结</w:t>
      </w:r>
      <w:r>
        <w:rPr>
          <w:rFonts w:ascii="仿宋" w:hAnsi="仿宋" w:eastAsia="仿宋" w:cs="仿宋"/>
          <w:color w:val="000000" w:themeColor="text1"/>
          <w:kern w:val="0"/>
          <w:sz w:val="28"/>
          <w:szCs w:val="28"/>
          <w14:textFill>
            <w14:solidFill>
              <w14:schemeClr w14:val="tx1"/>
            </w14:solidFill>
          </w14:textFill>
        </w:rPr>
        <w:t>后</w:t>
      </w:r>
      <w:r>
        <w:rPr>
          <w:rFonts w:hint="eastAsia" w:ascii="仿宋" w:hAnsi="仿宋" w:eastAsia="仿宋" w:cs="仿宋"/>
          <w:color w:val="000000" w:themeColor="text1"/>
          <w:kern w:val="0"/>
          <w:sz w:val="28"/>
          <w:szCs w:val="28"/>
          <w14:textFill>
            <w14:solidFill>
              <w14:schemeClr w14:val="tx1"/>
            </w14:solidFill>
          </w14:textFill>
        </w:rPr>
        <w:t>三十天</w:t>
      </w:r>
      <w:r>
        <w:rPr>
          <w:rFonts w:ascii="仿宋" w:hAnsi="仿宋" w:eastAsia="仿宋" w:cs="仿宋"/>
          <w:color w:val="000000" w:themeColor="text1"/>
          <w:kern w:val="0"/>
          <w:sz w:val="28"/>
          <w:szCs w:val="28"/>
          <w14:textFill>
            <w14:solidFill>
              <w14:schemeClr w14:val="tx1"/>
            </w14:solidFill>
          </w14:textFill>
        </w:rPr>
        <w:t>后</w:t>
      </w:r>
      <w:r>
        <w:rPr>
          <w:rFonts w:hint="eastAsia" w:ascii="仿宋" w:hAnsi="仿宋" w:eastAsia="仿宋" w:cs="仿宋"/>
          <w:color w:val="000000" w:themeColor="text1"/>
          <w:kern w:val="0"/>
          <w:sz w:val="28"/>
          <w:szCs w:val="28"/>
          <w14:textFill>
            <w14:solidFill>
              <w14:schemeClr w14:val="tx1"/>
            </w14:solidFill>
          </w14:textFill>
        </w:rPr>
        <w:t>可</w:t>
      </w:r>
      <w:r>
        <w:rPr>
          <w:rFonts w:ascii="仿宋" w:hAnsi="仿宋" w:eastAsia="仿宋" w:cs="仿宋"/>
          <w:color w:val="000000" w:themeColor="text1"/>
          <w:kern w:val="0"/>
          <w:sz w:val="28"/>
          <w:szCs w:val="28"/>
          <w14:textFill>
            <w14:solidFill>
              <w14:schemeClr w14:val="tx1"/>
            </w14:solidFill>
          </w14:textFill>
        </w:rPr>
        <w:t>办理</w:t>
      </w:r>
      <w:r>
        <w:rPr>
          <w:rFonts w:hint="eastAsia" w:ascii="仿宋" w:hAnsi="仿宋" w:eastAsia="仿宋" w:cs="仿宋"/>
          <w:color w:val="000000" w:themeColor="text1"/>
          <w:kern w:val="0"/>
          <w:sz w:val="28"/>
          <w:szCs w:val="28"/>
          <w14:textFill>
            <w14:solidFill>
              <w14:schemeClr w14:val="tx1"/>
            </w14:solidFill>
          </w14:textFill>
        </w:rPr>
        <w:t>电子</w:t>
      </w:r>
      <w:r>
        <w:rPr>
          <w:rFonts w:ascii="仿宋" w:hAnsi="仿宋" w:eastAsia="仿宋" w:cs="仿宋"/>
          <w:color w:val="000000" w:themeColor="text1"/>
          <w:kern w:val="0"/>
          <w:sz w:val="28"/>
          <w:szCs w:val="28"/>
          <w14:textFill>
            <w14:solidFill>
              <w14:schemeClr w14:val="tx1"/>
            </w14:solidFill>
          </w14:textFill>
        </w:rPr>
        <w:t>钱包退值手续</w:t>
      </w:r>
      <w:r>
        <w:rPr>
          <w:rFonts w:hint="eastAsia" w:ascii="仿宋" w:hAnsi="仿宋" w:eastAsia="仿宋" w:cs="仿宋"/>
          <w:color w:val="000000" w:themeColor="text1"/>
          <w:kern w:val="0"/>
          <w:sz w:val="28"/>
          <w:szCs w:val="28"/>
          <w14:textFill>
            <w14:solidFill>
              <w14:schemeClr w14:val="tx1"/>
            </w14:solidFill>
          </w14:textFill>
        </w:rPr>
        <w:t>。原卡须</w:t>
      </w:r>
      <w:r>
        <w:rPr>
          <w:rFonts w:ascii="仿宋" w:hAnsi="仿宋" w:eastAsia="仿宋" w:cs="仿宋"/>
          <w:color w:val="000000" w:themeColor="text1"/>
          <w:kern w:val="0"/>
          <w:sz w:val="28"/>
          <w:szCs w:val="28"/>
          <w14:textFill>
            <w14:solidFill>
              <w14:schemeClr w14:val="tx1"/>
            </w14:solidFill>
          </w14:textFill>
        </w:rPr>
        <w:t>于办理销户手续时</w:t>
      </w:r>
      <w:r>
        <w:rPr>
          <w:rFonts w:hint="eastAsia" w:ascii="仿宋" w:hAnsi="仿宋" w:eastAsia="仿宋" w:cs="仿宋"/>
          <w:color w:val="000000" w:themeColor="text1"/>
          <w:kern w:val="0"/>
          <w:sz w:val="28"/>
          <w:szCs w:val="28"/>
          <w14:textFill>
            <w14:solidFill>
              <w14:schemeClr w14:val="tx1"/>
            </w14:solidFill>
          </w14:textFill>
        </w:rPr>
        <w:t>交还</w:t>
      </w:r>
      <w:r>
        <w:rPr>
          <w:rFonts w:hint="eastAsia" w:ascii="仿宋" w:hAnsi="仿宋" w:eastAsia="仿宋" w:cs="宋体"/>
          <w:color w:val="000000" w:themeColor="text1"/>
          <w:kern w:val="0"/>
          <w:sz w:val="28"/>
          <w:szCs w:val="28"/>
          <w14:textFill>
            <w14:solidFill>
              <w14:schemeClr w14:val="tx1"/>
            </w14:solidFill>
          </w14:textFill>
        </w:rPr>
        <w:t>苏州市民卡客服中心</w:t>
      </w:r>
      <w:r>
        <w:rPr>
          <w:rFonts w:hint="eastAsia" w:ascii="仿宋" w:hAnsi="仿宋" w:eastAsia="仿宋" w:cs="仿宋"/>
          <w:color w:val="000000" w:themeColor="text1"/>
          <w:kern w:val="0"/>
          <w:sz w:val="28"/>
          <w:szCs w:val="28"/>
          <w14:textFill>
            <w14:solidFill>
              <w14:schemeClr w14:val="tx1"/>
            </w14:solidFill>
          </w14:textFill>
        </w:rPr>
        <w:t>，</w:t>
      </w:r>
      <w:r>
        <w:rPr>
          <w:rFonts w:ascii="仿宋" w:hAnsi="仿宋" w:eastAsia="仿宋" w:cs="仿宋"/>
          <w:color w:val="000000" w:themeColor="text1"/>
          <w:kern w:val="0"/>
          <w:sz w:val="28"/>
          <w:szCs w:val="28"/>
          <w14:textFill>
            <w14:solidFill>
              <w14:schemeClr w14:val="tx1"/>
            </w14:solidFill>
          </w14:textFill>
        </w:rPr>
        <w:t>原卡工本费不退。</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不能辨认</w:t>
      </w:r>
      <w:r>
        <w:rPr>
          <w:rFonts w:hint="eastAsia" w:ascii="仿宋" w:hAnsi="仿宋" w:eastAsia="仿宋" w:cs="宋体"/>
          <w:color w:val="000000" w:themeColor="text1"/>
          <w:kern w:val="0"/>
          <w:sz w:val="28"/>
          <w:szCs w:val="28"/>
          <w14:textFill>
            <w14:solidFill>
              <w14:schemeClr w14:val="tx1"/>
            </w14:solidFill>
          </w14:textFill>
        </w:rPr>
        <w:t>卡号并且不能被</w:t>
      </w:r>
      <w:r>
        <w:rPr>
          <w:rFonts w:ascii="仿宋" w:hAnsi="仿宋" w:eastAsia="仿宋" w:cs="宋体"/>
          <w:color w:val="000000" w:themeColor="text1"/>
          <w:kern w:val="0"/>
          <w:sz w:val="28"/>
          <w:szCs w:val="28"/>
          <w14:textFill>
            <w14:solidFill>
              <w14:schemeClr w14:val="tx1"/>
            </w14:solidFill>
          </w14:textFill>
        </w:rPr>
        <w:t>正确读写</w:t>
      </w:r>
      <w:r>
        <w:rPr>
          <w:rFonts w:hint="eastAsia" w:ascii="仿宋" w:hAnsi="仿宋" w:eastAsia="仿宋" w:cs="宋体"/>
          <w:color w:val="000000" w:themeColor="text1"/>
          <w:kern w:val="0"/>
          <w:sz w:val="28"/>
          <w:szCs w:val="28"/>
          <w14:textFill>
            <w14:solidFill>
              <w14:schemeClr w14:val="tx1"/>
            </w14:solidFill>
          </w14:textFill>
        </w:rPr>
        <w:t>的</w:t>
      </w:r>
      <w:r>
        <w:rPr>
          <w:rFonts w:ascii="仿宋" w:hAnsi="仿宋" w:eastAsia="仿宋" w:cs="宋体"/>
          <w:color w:val="000000" w:themeColor="text1"/>
          <w:kern w:val="0"/>
          <w:sz w:val="28"/>
          <w:szCs w:val="28"/>
          <w14:textFill>
            <w14:solidFill>
              <w14:schemeClr w14:val="tx1"/>
            </w14:solidFill>
          </w14:textFill>
        </w:rPr>
        <w:t>卡片，</w:t>
      </w:r>
      <w:r>
        <w:rPr>
          <w:rFonts w:hint="eastAsia" w:ascii="仿宋" w:hAnsi="仿宋" w:eastAsia="仿宋" w:cs="宋体"/>
          <w:color w:val="000000" w:themeColor="text1"/>
          <w:kern w:val="0"/>
          <w:sz w:val="28"/>
          <w:szCs w:val="28"/>
          <w14:textFill>
            <w14:solidFill>
              <w14:schemeClr w14:val="tx1"/>
            </w14:solidFill>
          </w14:textFill>
        </w:rPr>
        <w:t>不予办理任何业务。</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持卡人</w:t>
      </w:r>
      <w:r>
        <w:rPr>
          <w:rFonts w:ascii="仿宋" w:hAnsi="仿宋" w:eastAsia="仿宋" w:cs="宋体"/>
          <w:color w:val="000000" w:themeColor="text1"/>
          <w:kern w:val="0"/>
          <w:sz w:val="28"/>
          <w:szCs w:val="28"/>
          <w14:textFill>
            <w14:solidFill>
              <w14:schemeClr w14:val="tx1"/>
            </w14:solidFill>
          </w14:textFill>
        </w:rPr>
        <w:t>在使用</w:t>
      </w:r>
      <w:r>
        <w:rPr>
          <w:rFonts w:hint="eastAsia" w:ascii="仿宋" w:hAnsi="仿宋" w:eastAsia="仿宋" w:cs="宋体"/>
          <w:color w:val="000000" w:themeColor="text1"/>
          <w:kern w:val="0"/>
          <w:sz w:val="28"/>
          <w:szCs w:val="28"/>
          <w14:textFill>
            <w14:solidFill>
              <w14:schemeClr w14:val="tx1"/>
            </w14:solidFill>
          </w14:textFill>
        </w:rPr>
        <w:t>交通一卡</w:t>
      </w:r>
      <w:r>
        <w:rPr>
          <w:rFonts w:ascii="仿宋" w:hAnsi="仿宋" w:eastAsia="仿宋" w:cs="宋体"/>
          <w:color w:val="000000" w:themeColor="text1"/>
          <w:kern w:val="0"/>
          <w:sz w:val="28"/>
          <w:szCs w:val="28"/>
          <w14:textFill>
            <w14:solidFill>
              <w14:schemeClr w14:val="tx1"/>
            </w14:solidFill>
          </w14:textFill>
        </w:rPr>
        <w:t>通</w:t>
      </w:r>
      <w:r>
        <w:rPr>
          <w:rFonts w:hint="eastAsia" w:ascii="仿宋" w:hAnsi="仿宋" w:eastAsia="仿宋" w:cs="宋体"/>
          <w:color w:val="000000" w:themeColor="text1"/>
          <w:kern w:val="0"/>
          <w:sz w:val="28"/>
          <w:szCs w:val="28"/>
          <w14:textFill>
            <w14:solidFill>
              <w14:schemeClr w14:val="tx1"/>
            </w14:solidFill>
          </w14:textFill>
        </w:rPr>
        <w:t>苏州本地卡</w:t>
      </w:r>
      <w:r>
        <w:rPr>
          <w:rFonts w:ascii="仿宋" w:hAnsi="仿宋" w:eastAsia="仿宋" w:cs="宋体"/>
          <w:color w:val="000000" w:themeColor="text1"/>
          <w:kern w:val="0"/>
          <w:sz w:val="28"/>
          <w:szCs w:val="28"/>
          <w14:textFill>
            <w14:solidFill>
              <w14:schemeClr w14:val="tx1"/>
            </w14:solidFill>
          </w14:textFill>
        </w:rPr>
        <w:t>时，必须遵守本</w:t>
      </w:r>
      <w:r>
        <w:rPr>
          <w:rFonts w:hint="eastAsia" w:ascii="仿宋" w:hAnsi="仿宋" w:eastAsia="仿宋" w:cs="宋体"/>
          <w:color w:val="000000" w:themeColor="text1"/>
          <w:kern w:val="0"/>
          <w:sz w:val="28"/>
          <w:szCs w:val="28"/>
          <w14:textFill>
            <w14:solidFill>
              <w14:schemeClr w14:val="tx1"/>
            </w14:solidFill>
          </w14:textFill>
        </w:rPr>
        <w:t>管理</w:t>
      </w:r>
      <w:r>
        <w:rPr>
          <w:rFonts w:ascii="仿宋" w:hAnsi="仿宋" w:eastAsia="仿宋" w:cs="宋体"/>
          <w:color w:val="000000" w:themeColor="text1"/>
          <w:kern w:val="0"/>
          <w:sz w:val="28"/>
          <w:szCs w:val="28"/>
          <w14:textFill>
            <w14:solidFill>
              <w14:schemeClr w14:val="tx1"/>
            </w14:solidFill>
          </w14:textFill>
        </w:rPr>
        <w:t>办法的规定</w:t>
      </w:r>
      <w:r>
        <w:rPr>
          <w:rFonts w:hint="eastAsia" w:ascii="仿宋" w:hAnsi="仿宋" w:eastAsia="仿宋" w:cs="宋体"/>
          <w:color w:val="000000" w:themeColor="text1"/>
          <w:kern w:val="0"/>
          <w:sz w:val="28"/>
          <w:szCs w:val="28"/>
          <w14:textFill>
            <w14:solidFill>
              <w14:schemeClr w14:val="tx1"/>
            </w14:solidFill>
          </w14:textFill>
        </w:rPr>
        <w:t>。异地交易应按照交通运输部办公厅颁布《交通一卡通运营服务质量管理办法（试行）》的使用规范正确使用。</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购卡人在购买和使用交通一卡</w:t>
      </w:r>
      <w:r>
        <w:rPr>
          <w:rFonts w:ascii="仿宋" w:hAnsi="仿宋" w:eastAsia="仿宋" w:cs="宋体"/>
          <w:color w:val="000000" w:themeColor="text1"/>
          <w:kern w:val="0"/>
          <w:sz w:val="28"/>
          <w:szCs w:val="28"/>
          <w14:textFill>
            <w14:solidFill>
              <w14:schemeClr w14:val="tx1"/>
            </w14:solidFill>
          </w14:textFill>
        </w:rPr>
        <w:t>通</w:t>
      </w:r>
      <w:r>
        <w:rPr>
          <w:rFonts w:hint="eastAsia" w:ascii="仿宋" w:hAnsi="仿宋" w:eastAsia="仿宋" w:cs="宋体"/>
          <w:color w:val="000000" w:themeColor="text1"/>
          <w:kern w:val="0"/>
          <w:sz w:val="28"/>
          <w:szCs w:val="28"/>
          <w14:textFill>
            <w14:solidFill>
              <w14:schemeClr w14:val="tx1"/>
            </w14:solidFill>
          </w14:textFill>
        </w:rPr>
        <w:t>苏州本地卡前，确认已经详细阅读了本管理</w:t>
      </w:r>
      <w:r>
        <w:rPr>
          <w:rFonts w:ascii="仿宋" w:hAnsi="仿宋" w:eastAsia="仿宋" w:cs="宋体"/>
          <w:color w:val="000000" w:themeColor="text1"/>
          <w:kern w:val="0"/>
          <w:sz w:val="28"/>
          <w:szCs w:val="28"/>
          <w14:textFill>
            <w14:solidFill>
              <w14:schemeClr w14:val="tx1"/>
            </w14:solidFill>
          </w14:textFill>
        </w:rPr>
        <w:t>办法</w:t>
      </w:r>
      <w:r>
        <w:rPr>
          <w:rFonts w:hint="eastAsia" w:ascii="仿宋" w:hAnsi="仿宋" w:eastAsia="仿宋" w:cs="宋体"/>
          <w:color w:val="000000" w:themeColor="text1"/>
          <w:kern w:val="0"/>
          <w:sz w:val="28"/>
          <w:szCs w:val="28"/>
          <w14:textFill>
            <w14:solidFill>
              <w14:schemeClr w14:val="tx1"/>
            </w14:solidFill>
          </w14:textFill>
        </w:rPr>
        <w:t>的全部条款，双方对管理办法的全部条款均无疑义，并对管理</w:t>
      </w:r>
      <w:r>
        <w:rPr>
          <w:rFonts w:ascii="仿宋" w:hAnsi="仿宋" w:eastAsia="仿宋" w:cs="宋体"/>
          <w:color w:val="000000" w:themeColor="text1"/>
          <w:kern w:val="0"/>
          <w:sz w:val="28"/>
          <w:szCs w:val="28"/>
          <w14:textFill>
            <w14:solidFill>
              <w14:schemeClr w14:val="tx1"/>
            </w14:solidFill>
          </w14:textFill>
        </w:rPr>
        <w:t>办法</w:t>
      </w:r>
      <w:r>
        <w:rPr>
          <w:rFonts w:hint="eastAsia" w:ascii="仿宋" w:hAnsi="仿宋" w:eastAsia="仿宋" w:cs="宋体"/>
          <w:color w:val="000000" w:themeColor="text1"/>
          <w:kern w:val="0"/>
          <w:sz w:val="28"/>
          <w:szCs w:val="28"/>
          <w14:textFill>
            <w14:solidFill>
              <w14:schemeClr w14:val="tx1"/>
            </w14:solidFill>
          </w14:textFill>
        </w:rPr>
        <w:t>涉及的权利义务、责任限制及免责条款的法律含义有了准确无误的理解。购买和使用交通</w:t>
      </w:r>
      <w:r>
        <w:rPr>
          <w:rFonts w:ascii="仿宋" w:hAnsi="仿宋" w:eastAsia="仿宋" w:cs="宋体"/>
          <w:color w:val="000000" w:themeColor="text1"/>
          <w:kern w:val="0"/>
          <w:sz w:val="28"/>
          <w:szCs w:val="28"/>
          <w14:textFill>
            <w14:solidFill>
              <w14:schemeClr w14:val="tx1"/>
            </w14:solidFill>
          </w14:textFill>
        </w:rPr>
        <w:t>一卡通</w:t>
      </w:r>
      <w:r>
        <w:rPr>
          <w:rFonts w:hint="eastAsia" w:ascii="仿宋" w:hAnsi="仿宋" w:eastAsia="仿宋" w:cs="宋体"/>
          <w:color w:val="000000" w:themeColor="text1"/>
          <w:kern w:val="0"/>
          <w:sz w:val="28"/>
          <w:szCs w:val="28"/>
          <w14:textFill>
            <w14:solidFill>
              <w14:schemeClr w14:val="tx1"/>
            </w14:solidFill>
          </w14:textFill>
        </w:rPr>
        <w:t>苏州本地卡则视为同意遵守本管理办法并接受本管理</w:t>
      </w:r>
      <w:r>
        <w:rPr>
          <w:rFonts w:ascii="仿宋" w:hAnsi="仿宋" w:eastAsia="仿宋" w:cs="宋体"/>
          <w:color w:val="000000" w:themeColor="text1"/>
          <w:kern w:val="0"/>
          <w:sz w:val="28"/>
          <w:szCs w:val="28"/>
          <w14:textFill>
            <w14:solidFill>
              <w14:schemeClr w14:val="tx1"/>
            </w14:solidFill>
          </w14:textFill>
        </w:rPr>
        <w:t>办法</w:t>
      </w:r>
      <w:r>
        <w:rPr>
          <w:rFonts w:hint="eastAsia" w:ascii="仿宋" w:hAnsi="仿宋" w:eastAsia="仿宋" w:cs="宋体"/>
          <w:color w:val="000000" w:themeColor="text1"/>
          <w:kern w:val="0"/>
          <w:sz w:val="28"/>
          <w:szCs w:val="28"/>
          <w14:textFill>
            <w14:solidFill>
              <w14:schemeClr w14:val="tx1"/>
            </w14:solidFill>
          </w14:textFill>
        </w:rPr>
        <w:t>的约束。</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本章程根据交通运输部办公厅颁布的《交通一卡通运营服务质量管理办法（试行）》相关规定进行制定，并保留根据有关规定修改本管理</w:t>
      </w:r>
      <w:r>
        <w:rPr>
          <w:rFonts w:ascii="仿宋" w:hAnsi="仿宋" w:eastAsia="仿宋" w:cs="宋体"/>
          <w:color w:val="000000" w:themeColor="text1"/>
          <w:kern w:val="0"/>
          <w:sz w:val="28"/>
          <w:szCs w:val="28"/>
          <w14:textFill>
            <w14:solidFill>
              <w14:schemeClr w14:val="tx1"/>
            </w14:solidFill>
          </w14:textFill>
        </w:rPr>
        <w:t>办法</w:t>
      </w:r>
      <w:r>
        <w:rPr>
          <w:rFonts w:hint="eastAsia" w:ascii="仿宋" w:hAnsi="仿宋" w:eastAsia="仿宋" w:cs="宋体"/>
          <w:color w:val="000000" w:themeColor="text1"/>
          <w:kern w:val="0"/>
          <w:sz w:val="28"/>
          <w:szCs w:val="28"/>
          <w14:textFill>
            <w14:solidFill>
              <w14:schemeClr w14:val="tx1"/>
            </w14:solidFill>
          </w14:textFill>
        </w:rPr>
        <w:t>的权利。</w:t>
      </w:r>
    </w:p>
    <w:p>
      <w:pPr>
        <w:pStyle w:val="13"/>
        <w:widowControl w:val="0"/>
        <w:numPr>
          <w:ilvl w:val="0"/>
          <w:numId w:val="1"/>
        </w:numPr>
        <w:shd w:val="clear" w:color="auto" w:fill="FFFFFF"/>
        <w:adjustRightInd w:val="0"/>
        <w:snapToGrid w:val="0"/>
        <w:ind w:left="0" w:firstLine="560"/>
        <w:jc w:val="both"/>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本管理</w:t>
      </w:r>
      <w:r>
        <w:rPr>
          <w:rFonts w:ascii="仿宋" w:hAnsi="仿宋" w:eastAsia="仿宋" w:cs="宋体"/>
          <w:color w:val="000000" w:themeColor="text1"/>
          <w:kern w:val="0"/>
          <w:sz w:val="28"/>
          <w:szCs w:val="28"/>
          <w14:textFill>
            <w14:solidFill>
              <w14:schemeClr w14:val="tx1"/>
            </w14:solidFill>
          </w14:textFill>
        </w:rPr>
        <w:t>办法</w:t>
      </w:r>
      <w:r>
        <w:rPr>
          <w:rFonts w:hint="eastAsia" w:ascii="仿宋" w:hAnsi="仿宋" w:eastAsia="仿宋" w:cs="宋体"/>
          <w:color w:val="000000" w:themeColor="text1"/>
          <w:kern w:val="0"/>
          <w:sz w:val="28"/>
          <w:szCs w:val="28"/>
          <w14:textFill>
            <w14:solidFill>
              <w14:schemeClr w14:val="tx1"/>
            </w14:solidFill>
          </w14:textFill>
        </w:rPr>
        <w:t>自二〇一八年九月一 日起公告并生效。</w:t>
      </w:r>
    </w:p>
    <w:sectPr>
      <w:footerReference r:id="rId3" w:type="default"/>
      <w:pgSz w:w="11906" w:h="16838"/>
      <w:pgMar w:top="1440" w:right="1080" w:bottom="1440" w:left="1080" w:header="851" w:footer="992" w:gutter="0"/>
      <w:pgNumType w:fmt="numberInDash"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4231652"/>
    </w:sdtPr>
    <w:sdtEndPr>
      <w:rPr>
        <w:rFonts w:ascii="仿宋" w:hAnsi="仿宋" w:eastAsia="仿宋"/>
        <w:sz w:val="24"/>
        <w:szCs w:val="24"/>
      </w:rPr>
    </w:sdtEndPr>
    <w:sdtContent>
      <w:p>
        <w:pPr>
          <w:pStyle w:val="6"/>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3 -</w:t>
        </w:r>
        <w:r>
          <w:rPr>
            <w:rFonts w:ascii="仿宋" w:hAnsi="仿宋" w:eastAsia="仿宋"/>
            <w:sz w:val="24"/>
            <w:szCs w:val="24"/>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24D54"/>
    <w:multiLevelType w:val="multilevel"/>
    <w:tmpl w:val="2A024D54"/>
    <w:lvl w:ilvl="0" w:tentative="0">
      <w:start w:val="1"/>
      <w:numFmt w:val="chineseCountingThousand"/>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
    <w:nsid w:val="30DD3B47"/>
    <w:multiLevelType w:val="multilevel"/>
    <w:tmpl w:val="30DD3B47"/>
    <w:lvl w:ilvl="0" w:tentative="0">
      <w:start w:val="1"/>
      <w:numFmt w:val="chineseCountingThousand"/>
      <w:suff w:val="space"/>
      <w:lvlText w:val="第%1条"/>
      <w:lvlJc w:val="left"/>
      <w:pPr>
        <w:ind w:left="846" w:hanging="420"/>
      </w:pPr>
      <w:rPr>
        <w:rFonts w:hint="eastAsia"/>
        <w:b/>
      </w:rPr>
    </w:lvl>
    <w:lvl w:ilvl="1" w:tentative="0">
      <w:start w:val="1"/>
      <w:numFmt w:val="lowerLetter"/>
      <w:lvlText w:val="%2)"/>
      <w:lvlJc w:val="left"/>
      <w:pPr>
        <w:ind w:left="691" w:hanging="420"/>
      </w:pPr>
    </w:lvl>
    <w:lvl w:ilvl="2" w:tentative="0">
      <w:start w:val="1"/>
      <w:numFmt w:val="lowerRoman"/>
      <w:lvlText w:val="%3."/>
      <w:lvlJc w:val="right"/>
      <w:pPr>
        <w:ind w:left="1111" w:hanging="420"/>
      </w:pPr>
    </w:lvl>
    <w:lvl w:ilvl="3" w:tentative="0">
      <w:start w:val="1"/>
      <w:numFmt w:val="decimal"/>
      <w:lvlText w:val="%4."/>
      <w:lvlJc w:val="left"/>
      <w:pPr>
        <w:ind w:left="1531" w:hanging="420"/>
      </w:pPr>
    </w:lvl>
    <w:lvl w:ilvl="4" w:tentative="0">
      <w:start w:val="1"/>
      <w:numFmt w:val="lowerLetter"/>
      <w:lvlText w:val="%5)"/>
      <w:lvlJc w:val="left"/>
      <w:pPr>
        <w:ind w:left="1951" w:hanging="420"/>
      </w:pPr>
    </w:lvl>
    <w:lvl w:ilvl="5" w:tentative="0">
      <w:start w:val="1"/>
      <w:numFmt w:val="lowerRoman"/>
      <w:lvlText w:val="%6."/>
      <w:lvlJc w:val="right"/>
      <w:pPr>
        <w:ind w:left="2371" w:hanging="420"/>
      </w:pPr>
    </w:lvl>
    <w:lvl w:ilvl="6" w:tentative="0">
      <w:start w:val="1"/>
      <w:numFmt w:val="decimal"/>
      <w:lvlText w:val="%7."/>
      <w:lvlJc w:val="left"/>
      <w:pPr>
        <w:ind w:left="2791" w:hanging="420"/>
      </w:pPr>
    </w:lvl>
    <w:lvl w:ilvl="7" w:tentative="0">
      <w:start w:val="1"/>
      <w:numFmt w:val="lowerLetter"/>
      <w:lvlText w:val="%8)"/>
      <w:lvlJc w:val="left"/>
      <w:pPr>
        <w:ind w:left="3211" w:hanging="420"/>
      </w:pPr>
    </w:lvl>
    <w:lvl w:ilvl="8" w:tentative="0">
      <w:start w:val="1"/>
      <w:numFmt w:val="lowerRoman"/>
      <w:lvlText w:val="%9."/>
      <w:lvlJc w:val="right"/>
      <w:pPr>
        <w:ind w:left="3631" w:hanging="420"/>
      </w:pPr>
    </w:lvl>
  </w:abstractNum>
  <w:abstractNum w:abstractNumId="2">
    <w:nsid w:val="3872349D"/>
    <w:multiLevelType w:val="multilevel"/>
    <w:tmpl w:val="3872349D"/>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EDB0D3C"/>
    <w:multiLevelType w:val="multilevel"/>
    <w:tmpl w:val="3EDB0D3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735C6497"/>
    <w:multiLevelType w:val="multilevel"/>
    <w:tmpl w:val="735C6497"/>
    <w:lvl w:ilvl="0" w:tentative="0">
      <w:start w:val="1"/>
      <w:numFmt w:val="decimal"/>
      <w:suff w:val="nothing"/>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hideSpellingErrors/>
  <w:hideGrammaticalError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F3"/>
    <w:rsid w:val="000031B7"/>
    <w:rsid w:val="00015EEB"/>
    <w:rsid w:val="00016B35"/>
    <w:rsid w:val="00025E32"/>
    <w:rsid w:val="00057FE6"/>
    <w:rsid w:val="00077455"/>
    <w:rsid w:val="000965FF"/>
    <w:rsid w:val="000A4849"/>
    <w:rsid w:val="000A55CA"/>
    <w:rsid w:val="000C0B32"/>
    <w:rsid w:val="000C59A8"/>
    <w:rsid w:val="000D5064"/>
    <w:rsid w:val="000F1A88"/>
    <w:rsid w:val="00113011"/>
    <w:rsid w:val="0014395A"/>
    <w:rsid w:val="00144210"/>
    <w:rsid w:val="00146296"/>
    <w:rsid w:val="0015012E"/>
    <w:rsid w:val="00193282"/>
    <w:rsid w:val="001B7050"/>
    <w:rsid w:val="001C6F36"/>
    <w:rsid w:val="001E0232"/>
    <w:rsid w:val="002217F4"/>
    <w:rsid w:val="00237C22"/>
    <w:rsid w:val="00255DDF"/>
    <w:rsid w:val="00264002"/>
    <w:rsid w:val="00270E74"/>
    <w:rsid w:val="0028344F"/>
    <w:rsid w:val="002865EA"/>
    <w:rsid w:val="002A26A4"/>
    <w:rsid w:val="002B54B0"/>
    <w:rsid w:val="002E44B7"/>
    <w:rsid w:val="00303680"/>
    <w:rsid w:val="00307EB6"/>
    <w:rsid w:val="003111AB"/>
    <w:rsid w:val="00321D24"/>
    <w:rsid w:val="0033693F"/>
    <w:rsid w:val="003464C3"/>
    <w:rsid w:val="00351389"/>
    <w:rsid w:val="0036316E"/>
    <w:rsid w:val="00366A10"/>
    <w:rsid w:val="003747F8"/>
    <w:rsid w:val="00386549"/>
    <w:rsid w:val="0039251D"/>
    <w:rsid w:val="00394AC3"/>
    <w:rsid w:val="00397267"/>
    <w:rsid w:val="003B1664"/>
    <w:rsid w:val="003B2688"/>
    <w:rsid w:val="003C59FD"/>
    <w:rsid w:val="003D6BC8"/>
    <w:rsid w:val="003E088A"/>
    <w:rsid w:val="003E6083"/>
    <w:rsid w:val="00431FC3"/>
    <w:rsid w:val="00457474"/>
    <w:rsid w:val="00471E3E"/>
    <w:rsid w:val="00472F31"/>
    <w:rsid w:val="004737F4"/>
    <w:rsid w:val="004823D5"/>
    <w:rsid w:val="004A2D06"/>
    <w:rsid w:val="004A6676"/>
    <w:rsid w:val="004B5194"/>
    <w:rsid w:val="004F6408"/>
    <w:rsid w:val="00520DFC"/>
    <w:rsid w:val="00531FF2"/>
    <w:rsid w:val="005324FF"/>
    <w:rsid w:val="005531C5"/>
    <w:rsid w:val="00557719"/>
    <w:rsid w:val="005821B4"/>
    <w:rsid w:val="00582442"/>
    <w:rsid w:val="005C10B4"/>
    <w:rsid w:val="005C1F2C"/>
    <w:rsid w:val="005D0B4C"/>
    <w:rsid w:val="006164F3"/>
    <w:rsid w:val="00646176"/>
    <w:rsid w:val="006848BF"/>
    <w:rsid w:val="00685232"/>
    <w:rsid w:val="006A5552"/>
    <w:rsid w:val="006B6A91"/>
    <w:rsid w:val="006C190D"/>
    <w:rsid w:val="006D4B89"/>
    <w:rsid w:val="006E317E"/>
    <w:rsid w:val="0072113A"/>
    <w:rsid w:val="0073529E"/>
    <w:rsid w:val="00763069"/>
    <w:rsid w:val="007B0D22"/>
    <w:rsid w:val="007B3E1B"/>
    <w:rsid w:val="007C3956"/>
    <w:rsid w:val="007E37CA"/>
    <w:rsid w:val="007E3EE4"/>
    <w:rsid w:val="007F1C03"/>
    <w:rsid w:val="007F30FE"/>
    <w:rsid w:val="008006E9"/>
    <w:rsid w:val="0080566F"/>
    <w:rsid w:val="008139C7"/>
    <w:rsid w:val="00825146"/>
    <w:rsid w:val="0083279D"/>
    <w:rsid w:val="0083678A"/>
    <w:rsid w:val="00855213"/>
    <w:rsid w:val="00892ED2"/>
    <w:rsid w:val="008A6315"/>
    <w:rsid w:val="008D1065"/>
    <w:rsid w:val="008D7F76"/>
    <w:rsid w:val="009218E6"/>
    <w:rsid w:val="009357DB"/>
    <w:rsid w:val="00953CAF"/>
    <w:rsid w:val="00964069"/>
    <w:rsid w:val="00966522"/>
    <w:rsid w:val="009756BA"/>
    <w:rsid w:val="0098380B"/>
    <w:rsid w:val="00983E7A"/>
    <w:rsid w:val="00986ACB"/>
    <w:rsid w:val="009A33EB"/>
    <w:rsid w:val="00A02B66"/>
    <w:rsid w:val="00A2768D"/>
    <w:rsid w:val="00A42725"/>
    <w:rsid w:val="00A47030"/>
    <w:rsid w:val="00A6441E"/>
    <w:rsid w:val="00A66379"/>
    <w:rsid w:val="00A73DFC"/>
    <w:rsid w:val="00A8535F"/>
    <w:rsid w:val="00AA1281"/>
    <w:rsid w:val="00AA6183"/>
    <w:rsid w:val="00AA72A7"/>
    <w:rsid w:val="00AB4C15"/>
    <w:rsid w:val="00AD69AF"/>
    <w:rsid w:val="00AE2211"/>
    <w:rsid w:val="00AE673B"/>
    <w:rsid w:val="00B1099F"/>
    <w:rsid w:val="00B14E98"/>
    <w:rsid w:val="00B3059A"/>
    <w:rsid w:val="00B44E93"/>
    <w:rsid w:val="00B5403C"/>
    <w:rsid w:val="00B62B61"/>
    <w:rsid w:val="00B94D1F"/>
    <w:rsid w:val="00B975A3"/>
    <w:rsid w:val="00BE671A"/>
    <w:rsid w:val="00C13D7E"/>
    <w:rsid w:val="00C25B73"/>
    <w:rsid w:val="00C56A84"/>
    <w:rsid w:val="00C741F4"/>
    <w:rsid w:val="00C75E99"/>
    <w:rsid w:val="00C81C8B"/>
    <w:rsid w:val="00C840A0"/>
    <w:rsid w:val="00CB7395"/>
    <w:rsid w:val="00CC6F11"/>
    <w:rsid w:val="00CD612E"/>
    <w:rsid w:val="00D04A8E"/>
    <w:rsid w:val="00D059F2"/>
    <w:rsid w:val="00D300CE"/>
    <w:rsid w:val="00D31784"/>
    <w:rsid w:val="00D33333"/>
    <w:rsid w:val="00D5322D"/>
    <w:rsid w:val="00DC092D"/>
    <w:rsid w:val="00DC28EF"/>
    <w:rsid w:val="00DC6176"/>
    <w:rsid w:val="00DC6EC6"/>
    <w:rsid w:val="00DD1D3E"/>
    <w:rsid w:val="00DD4FF1"/>
    <w:rsid w:val="00E27274"/>
    <w:rsid w:val="00E35679"/>
    <w:rsid w:val="00E359DA"/>
    <w:rsid w:val="00E4301F"/>
    <w:rsid w:val="00E4781F"/>
    <w:rsid w:val="00E47FBC"/>
    <w:rsid w:val="00E53368"/>
    <w:rsid w:val="00E57B29"/>
    <w:rsid w:val="00E87865"/>
    <w:rsid w:val="00EA16F3"/>
    <w:rsid w:val="00EC2286"/>
    <w:rsid w:val="00EC50E8"/>
    <w:rsid w:val="00EC6D8C"/>
    <w:rsid w:val="00ED2B50"/>
    <w:rsid w:val="00F33238"/>
    <w:rsid w:val="00F37965"/>
    <w:rsid w:val="00F70499"/>
    <w:rsid w:val="00FB2915"/>
    <w:rsid w:val="00FB53A0"/>
    <w:rsid w:val="00FC4CD8"/>
    <w:rsid w:val="00FD701D"/>
    <w:rsid w:val="00FE27B6"/>
    <w:rsid w:val="00FE7E49"/>
    <w:rsid w:val="073C0E30"/>
    <w:rsid w:val="0B95473D"/>
    <w:rsid w:val="0C225B98"/>
    <w:rsid w:val="12575BE4"/>
    <w:rsid w:val="14F84BAD"/>
    <w:rsid w:val="274E624D"/>
    <w:rsid w:val="3FA826B7"/>
    <w:rsid w:val="479D7FA0"/>
    <w:rsid w:val="53C23DC3"/>
    <w:rsid w:val="55E05255"/>
    <w:rsid w:val="5A0D2120"/>
    <w:rsid w:val="5BB42575"/>
    <w:rsid w:val="6FE90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7"/>
    <w:unhideWhenUsed/>
    <w:qFormat/>
    <w:uiPriority w:val="99"/>
    <w:rPr>
      <w:b/>
      <w:bCs/>
    </w:rPr>
  </w:style>
  <w:style w:type="paragraph" w:styleId="4">
    <w:name w:val="annotation text"/>
    <w:basedOn w:val="1"/>
    <w:link w:val="16"/>
    <w:unhideWhenUsed/>
    <w:qFormat/>
    <w:uiPriority w:val="99"/>
  </w:style>
  <w:style w:type="paragraph" w:styleId="5">
    <w:name w:val="Balloon Text"/>
    <w:basedOn w:val="1"/>
    <w:link w:val="18"/>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spacing w:line="240" w:lineRule="atLeas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unhideWhenUsed/>
    <w:qFormat/>
    <w:uiPriority w:val="99"/>
    <w:pPr>
      <w:spacing w:before="100" w:beforeAutospacing="1" w:after="100" w:afterAutospacing="1" w:line="240" w:lineRule="auto"/>
    </w:pPr>
    <w:rPr>
      <w:rFonts w:ascii="宋体" w:hAnsi="宋体" w:eastAsia="宋体" w:cs="宋体"/>
      <w:kern w:val="0"/>
      <w:sz w:val="24"/>
      <w:szCs w:val="24"/>
    </w:rPr>
  </w:style>
  <w:style w:type="character" w:styleId="10">
    <w:name w:val="annotation reference"/>
    <w:basedOn w:val="9"/>
    <w:unhideWhenUsed/>
    <w:qFormat/>
    <w:uiPriority w:val="99"/>
    <w:rPr>
      <w:sz w:val="21"/>
      <w:szCs w:val="21"/>
    </w:rPr>
  </w:style>
  <w:style w:type="character" w:customStyle="1" w:styleId="12">
    <w:name w:val="标题 1 Char"/>
    <w:basedOn w:val="9"/>
    <w:link w:val="2"/>
    <w:qFormat/>
    <w:uiPriority w:val="9"/>
    <w:rPr>
      <w:rFonts w:ascii="宋体" w:hAnsi="宋体" w:eastAsia="宋体" w:cs="宋体"/>
      <w:b/>
      <w:bCs/>
      <w:kern w:val="36"/>
      <w:sz w:val="48"/>
      <w:szCs w:val="48"/>
    </w:rPr>
  </w:style>
  <w:style w:type="paragraph" w:customStyle="1" w:styleId="13">
    <w:name w:val="列出段落1"/>
    <w:basedOn w:val="1"/>
    <w:qFormat/>
    <w:uiPriority w:val="34"/>
    <w:pPr>
      <w:ind w:firstLine="420" w:firstLineChars="200"/>
    </w:pPr>
  </w:style>
  <w:style w:type="character" w:customStyle="1" w:styleId="14">
    <w:name w:val="页眉 Char"/>
    <w:basedOn w:val="9"/>
    <w:link w:val="7"/>
    <w:qFormat/>
    <w:uiPriority w:val="99"/>
    <w:rPr>
      <w:sz w:val="18"/>
      <w:szCs w:val="18"/>
    </w:rPr>
  </w:style>
  <w:style w:type="character" w:customStyle="1" w:styleId="15">
    <w:name w:val="页脚 Char"/>
    <w:basedOn w:val="9"/>
    <w:link w:val="6"/>
    <w:qFormat/>
    <w:uiPriority w:val="99"/>
    <w:rPr>
      <w:sz w:val="18"/>
      <w:szCs w:val="18"/>
    </w:rPr>
  </w:style>
  <w:style w:type="character" w:customStyle="1" w:styleId="16">
    <w:name w:val="批注文字 Char"/>
    <w:basedOn w:val="9"/>
    <w:link w:val="4"/>
    <w:semiHidden/>
    <w:qFormat/>
    <w:uiPriority w:val="99"/>
  </w:style>
  <w:style w:type="character" w:customStyle="1" w:styleId="17">
    <w:name w:val="批注主题 Char"/>
    <w:basedOn w:val="16"/>
    <w:link w:val="3"/>
    <w:semiHidden/>
    <w:qFormat/>
    <w:uiPriority w:val="99"/>
    <w:rPr>
      <w:b/>
      <w:bCs/>
    </w:rPr>
  </w:style>
  <w:style w:type="character" w:customStyle="1" w:styleId="18">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232</Words>
  <Characters>1324</Characters>
  <Lines>11</Lines>
  <Paragraphs>3</Paragraphs>
  <TotalTime>48</TotalTime>
  <ScaleCrop>false</ScaleCrop>
  <LinksUpToDate>false</LinksUpToDate>
  <CharactersWithSpaces>1553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2018-09-04T06:37:00Z</dcterms:created>
  <dc:creator>市民卡法务封嫘音</dc:creator>
  <cp:lastModifiedBy>bwd</cp:lastModifiedBy>
  <cp:lastPrinted>2018-09-05T08:15:00Z</cp:lastPrinted>
  <dcterms:modified xsi:type="dcterms:W3CDTF">2019-02-02T05:51:56Z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